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862B1" w14:textId="77777777" w:rsidR="003D2774" w:rsidRDefault="003D2774" w:rsidP="00307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BIUDŽETO LĖŠŲ NAUDOJIMO SUTARTIS</w:t>
      </w:r>
    </w:p>
    <w:p w14:paraId="3BC862B2" w14:textId="77777777" w:rsidR="004F5B94" w:rsidRPr="003C09F9" w:rsidRDefault="004F5B94" w:rsidP="0030737C">
      <w:pPr>
        <w:jc w:val="center"/>
        <w:rPr>
          <w:sz w:val="24"/>
          <w:szCs w:val="24"/>
        </w:rPr>
      </w:pPr>
    </w:p>
    <w:p w14:paraId="3BC862B3" w14:textId="30CEB0AC" w:rsidR="00445CA9" w:rsidRPr="003C09F9" w:rsidRDefault="00445CA9" w:rsidP="0030737C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</w:p>
    <w:p w14:paraId="3BC862B4" w14:textId="77777777" w:rsidR="00445CA9" w:rsidRDefault="001456CE" w:rsidP="0030737C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3BC862B5" w14:textId="74CEAC9B" w:rsidR="004F5B94" w:rsidRDefault="004F5B94" w:rsidP="0030737C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</w:p>
    <w:p w14:paraId="37C0BE88" w14:textId="77777777" w:rsidR="007402FB" w:rsidRDefault="007402FB" w:rsidP="0030737C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</w:p>
    <w:p w14:paraId="3BC862B6" w14:textId="77777777" w:rsidR="003D2774" w:rsidRDefault="003D2774" w:rsidP="00307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SUTARTIES ŠALYS</w:t>
      </w:r>
    </w:p>
    <w:p w14:paraId="3BC862B7" w14:textId="77777777" w:rsidR="003D2774" w:rsidRDefault="003D2774" w:rsidP="0030737C">
      <w:pPr>
        <w:rPr>
          <w:sz w:val="24"/>
          <w:szCs w:val="24"/>
        </w:rPr>
      </w:pPr>
    </w:p>
    <w:p w14:paraId="3BC862B8" w14:textId="484CED55" w:rsidR="003D2774" w:rsidRDefault="003D2774" w:rsidP="0030737C">
      <w:pPr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Klaipėdos miesto savivaldybės administracija</w:t>
      </w:r>
      <w:r>
        <w:rPr>
          <w:sz w:val="24"/>
          <w:szCs w:val="24"/>
        </w:rPr>
        <w:t xml:space="preserve"> (toliau – Administracija), atstovaujama Administracijos direktoriaus </w:t>
      </w:r>
      <w:r w:rsidR="00B96B3C">
        <w:rPr>
          <w:sz w:val="24"/>
          <w:szCs w:val="24"/>
        </w:rPr>
        <w:t>.........</w:t>
      </w:r>
      <w:r>
        <w:rPr>
          <w:sz w:val="24"/>
          <w:szCs w:val="24"/>
        </w:rPr>
        <w:t>, veikiančio pagal Administracijos nuostatus, vadovaudamasi Saugomų kultūros paveldo objektų tvarkybos darbų finansavimo tvarkos aprašo, patvirtinto Klaipėdos miesto savivaldybės tarybos 2017 m. spalio 19 d. sprendimu Nr. T2</w:t>
      </w:r>
      <w:r>
        <w:rPr>
          <w:sz w:val="24"/>
          <w:szCs w:val="24"/>
        </w:rPr>
        <w:noBreakHyphen/>
        <w:t>255 „Dėl Saugomų kultūros paveldo objektų tvarkybos darbų finansavimo tvarkos aprašo patvirtinimo“, 21</w:t>
      </w:r>
      <w:r w:rsidR="00D54FDB">
        <w:rPr>
          <w:sz w:val="24"/>
          <w:szCs w:val="24"/>
        </w:rPr>
        <w:t> </w:t>
      </w:r>
      <w:r>
        <w:rPr>
          <w:sz w:val="24"/>
          <w:szCs w:val="24"/>
        </w:rPr>
        <w:t>punktu, ir</w:t>
      </w:r>
      <w:r w:rsidR="004D1525">
        <w:rPr>
          <w:sz w:val="24"/>
          <w:szCs w:val="24"/>
        </w:rPr>
        <w:t xml:space="preserve"> </w:t>
      </w:r>
      <w:r w:rsidR="00B96B3C">
        <w:rPr>
          <w:b/>
          <w:sz w:val="24"/>
          <w:szCs w:val="24"/>
        </w:rPr>
        <w:t>..............</w:t>
      </w:r>
      <w:r w:rsidR="004F6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(toliau – Valdytojas), </w:t>
      </w:r>
      <w:r w:rsidRPr="003C209A">
        <w:rPr>
          <w:sz w:val="24"/>
          <w:szCs w:val="24"/>
        </w:rPr>
        <w:t>atstovaujama</w:t>
      </w:r>
      <w:r w:rsidR="004F6E55">
        <w:rPr>
          <w:sz w:val="24"/>
          <w:szCs w:val="24"/>
        </w:rPr>
        <w:t>s</w:t>
      </w:r>
      <w:r w:rsidRPr="003C209A">
        <w:rPr>
          <w:sz w:val="24"/>
          <w:szCs w:val="24"/>
        </w:rPr>
        <w:t xml:space="preserve"> </w:t>
      </w:r>
      <w:r w:rsidR="004F6E55">
        <w:rPr>
          <w:sz w:val="24"/>
          <w:szCs w:val="24"/>
        </w:rPr>
        <w:t>direktoriaus</w:t>
      </w:r>
      <w:r w:rsidR="00241582" w:rsidRPr="003C209A">
        <w:rPr>
          <w:sz w:val="24"/>
          <w:szCs w:val="24"/>
        </w:rPr>
        <w:t xml:space="preserve"> </w:t>
      </w:r>
      <w:r w:rsidR="00B96B3C">
        <w:rPr>
          <w:sz w:val="24"/>
          <w:szCs w:val="24"/>
        </w:rPr>
        <w:t>............</w:t>
      </w:r>
      <w:r w:rsidRPr="003C209A">
        <w:rPr>
          <w:sz w:val="24"/>
          <w:szCs w:val="24"/>
        </w:rPr>
        <w:t xml:space="preserve">, sudarė šią sutartį. Šioje sutartyje </w:t>
      </w:r>
      <w:r>
        <w:rPr>
          <w:sz w:val="24"/>
          <w:szCs w:val="24"/>
        </w:rPr>
        <w:t>Administracija ir Valdytojas kartu taip pat vadinami Šalimis, o kiekviena</w:t>
      </w:r>
      <w:r w:rsidR="0030737C">
        <w:rPr>
          <w:sz w:val="24"/>
          <w:szCs w:val="24"/>
        </w:rPr>
        <w:t>s</w:t>
      </w:r>
      <w:r>
        <w:rPr>
          <w:sz w:val="24"/>
          <w:szCs w:val="24"/>
        </w:rPr>
        <w:t xml:space="preserve"> atskirai – Šalimi.</w:t>
      </w:r>
    </w:p>
    <w:p w14:paraId="3BC862B9" w14:textId="77777777" w:rsidR="003D2774" w:rsidRDefault="003D2774" w:rsidP="0030737C">
      <w:pPr>
        <w:tabs>
          <w:tab w:val="left" w:pos="360"/>
        </w:tabs>
        <w:autoSpaceDE w:val="0"/>
        <w:autoSpaceDN w:val="0"/>
        <w:adjustRightInd w:val="0"/>
        <w:ind w:firstLine="700"/>
        <w:jc w:val="both"/>
        <w:rPr>
          <w:b/>
          <w:bCs/>
          <w:caps/>
          <w:sz w:val="24"/>
          <w:szCs w:val="24"/>
        </w:rPr>
      </w:pPr>
    </w:p>
    <w:p w14:paraId="3BC862BA" w14:textId="77777777" w:rsidR="003D2774" w:rsidRDefault="003D2774" w:rsidP="0030737C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Ii. Sutarties OBJEKTAS</w:t>
      </w:r>
    </w:p>
    <w:p w14:paraId="3BC862BB" w14:textId="77777777" w:rsidR="003D2774" w:rsidRDefault="003D2774" w:rsidP="0030737C">
      <w:pPr>
        <w:autoSpaceDE w:val="0"/>
        <w:autoSpaceDN w:val="0"/>
        <w:adjustRightInd w:val="0"/>
        <w:ind w:firstLine="700"/>
        <w:jc w:val="both"/>
        <w:rPr>
          <w:b/>
          <w:bCs/>
          <w:sz w:val="24"/>
          <w:szCs w:val="24"/>
        </w:rPr>
      </w:pPr>
    </w:p>
    <w:p w14:paraId="3BC862BC" w14:textId="299C304A" w:rsidR="003D2774" w:rsidRDefault="003D2774" w:rsidP="00B67B95">
      <w:pPr>
        <w:numPr>
          <w:ilvl w:val="0"/>
          <w:numId w:val="1"/>
        </w:numPr>
        <w:tabs>
          <w:tab w:val="left" w:pos="993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Šios sutarties objektas yra Klaipėdos miesto strateginio veiklos plano priemonės „Kultūros paveldo objektų tvarkyba“ vykdymas ir </w:t>
      </w:r>
      <w:r w:rsidR="00FE566D" w:rsidRPr="00FE566D">
        <w:rPr>
          <w:b/>
          <w:sz w:val="24"/>
          <w:szCs w:val="24"/>
        </w:rPr>
        <w:t>76 380,98</w:t>
      </w:r>
      <w:r w:rsidR="004F6E55">
        <w:rPr>
          <w:rFonts w:eastAsia="Calibri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 (</w:t>
      </w:r>
      <w:r w:rsidR="00FE566D">
        <w:rPr>
          <w:sz w:val="24"/>
          <w:szCs w:val="24"/>
        </w:rPr>
        <w:t>septyni</w:t>
      </w:r>
      <w:r w:rsidR="004F6E55" w:rsidRPr="004F6E55">
        <w:rPr>
          <w:sz w:val="24"/>
          <w:szCs w:val="24"/>
        </w:rPr>
        <w:t xml:space="preserve">asdešimt </w:t>
      </w:r>
      <w:r w:rsidR="00FE566D">
        <w:rPr>
          <w:sz w:val="24"/>
          <w:szCs w:val="24"/>
        </w:rPr>
        <w:t>šeši</w:t>
      </w:r>
      <w:r w:rsidR="00E44DAD">
        <w:rPr>
          <w:sz w:val="24"/>
          <w:szCs w:val="24"/>
        </w:rPr>
        <w:t>ų</w:t>
      </w:r>
      <w:r w:rsidR="00D01C82">
        <w:rPr>
          <w:sz w:val="24"/>
          <w:szCs w:val="24"/>
        </w:rPr>
        <w:t xml:space="preserve"> tūkstanči</w:t>
      </w:r>
      <w:r w:rsidR="00E44DAD">
        <w:rPr>
          <w:sz w:val="24"/>
          <w:szCs w:val="24"/>
        </w:rPr>
        <w:t>ų</w:t>
      </w:r>
      <w:r w:rsidR="004F6E55" w:rsidRPr="004F6E55">
        <w:rPr>
          <w:sz w:val="24"/>
          <w:szCs w:val="24"/>
        </w:rPr>
        <w:t xml:space="preserve"> </w:t>
      </w:r>
      <w:r w:rsidR="00FE566D">
        <w:rPr>
          <w:sz w:val="24"/>
          <w:szCs w:val="24"/>
        </w:rPr>
        <w:t>tr</w:t>
      </w:r>
      <w:r w:rsidR="00E44DAD">
        <w:rPr>
          <w:sz w:val="24"/>
          <w:szCs w:val="24"/>
        </w:rPr>
        <w:t>ijų</w:t>
      </w:r>
      <w:r w:rsidR="00D01C82">
        <w:rPr>
          <w:sz w:val="24"/>
          <w:szCs w:val="24"/>
        </w:rPr>
        <w:t xml:space="preserve"> šimt</w:t>
      </w:r>
      <w:r w:rsidR="00E44DAD">
        <w:rPr>
          <w:sz w:val="24"/>
          <w:szCs w:val="24"/>
        </w:rPr>
        <w:t>ų</w:t>
      </w:r>
      <w:r w:rsidR="00D01C82">
        <w:rPr>
          <w:sz w:val="24"/>
          <w:szCs w:val="24"/>
        </w:rPr>
        <w:t xml:space="preserve"> </w:t>
      </w:r>
      <w:r w:rsidR="00FE566D">
        <w:rPr>
          <w:sz w:val="24"/>
          <w:szCs w:val="24"/>
        </w:rPr>
        <w:t>aštuoniasd</w:t>
      </w:r>
      <w:r w:rsidR="00D01C82">
        <w:rPr>
          <w:sz w:val="24"/>
          <w:szCs w:val="24"/>
        </w:rPr>
        <w:t>ešimt</w:t>
      </w:r>
      <w:r w:rsidR="00E44DAD">
        <w:rPr>
          <w:sz w:val="24"/>
          <w:szCs w:val="24"/>
        </w:rPr>
        <w:t>ies</w:t>
      </w:r>
      <w:r w:rsidR="00D01C82">
        <w:rPr>
          <w:sz w:val="24"/>
          <w:szCs w:val="24"/>
        </w:rPr>
        <w:t xml:space="preserve"> </w:t>
      </w:r>
      <w:r w:rsidR="00FE566D">
        <w:rPr>
          <w:sz w:val="24"/>
          <w:szCs w:val="24"/>
        </w:rPr>
        <w:t>eurų</w:t>
      </w:r>
      <w:r w:rsidR="004F6E55">
        <w:rPr>
          <w:sz w:val="24"/>
          <w:szCs w:val="24"/>
        </w:rPr>
        <w:t xml:space="preserve"> </w:t>
      </w:r>
      <w:r w:rsidR="00E44DAD">
        <w:rPr>
          <w:sz w:val="24"/>
          <w:szCs w:val="24"/>
        </w:rPr>
        <w:t>98</w:t>
      </w:r>
      <w:r w:rsidR="004F6E55" w:rsidRPr="004F6E55">
        <w:rPr>
          <w:sz w:val="24"/>
          <w:szCs w:val="24"/>
        </w:rPr>
        <w:t xml:space="preserve"> ct</w:t>
      </w:r>
      <w:r>
        <w:rPr>
          <w:sz w:val="24"/>
          <w:szCs w:val="24"/>
        </w:rPr>
        <w:t>) dalinis finansavimas, patvirtintas Klaipėdos miesto savivaldybės a</w:t>
      </w:r>
      <w:r w:rsidR="004F6E55">
        <w:rPr>
          <w:sz w:val="24"/>
          <w:szCs w:val="24"/>
        </w:rPr>
        <w:t>dministracijos direktoriaus 2022</w:t>
      </w:r>
      <w:r>
        <w:rPr>
          <w:sz w:val="24"/>
          <w:szCs w:val="24"/>
        </w:rPr>
        <w:t xml:space="preserve"> m. </w:t>
      </w:r>
      <w:r w:rsidR="00D01C82">
        <w:rPr>
          <w:sz w:val="24"/>
          <w:szCs w:val="24"/>
        </w:rPr>
        <w:t>gruodžio 8</w:t>
      </w:r>
      <w:r>
        <w:rPr>
          <w:sz w:val="24"/>
          <w:szCs w:val="24"/>
        </w:rPr>
        <w:t xml:space="preserve"> d. įsakymu Nr.</w:t>
      </w:r>
      <w:r w:rsidR="00D54FDB">
        <w:rPr>
          <w:sz w:val="24"/>
          <w:szCs w:val="24"/>
        </w:rPr>
        <w:t> </w:t>
      </w:r>
      <w:r>
        <w:rPr>
          <w:sz w:val="24"/>
          <w:szCs w:val="24"/>
        </w:rPr>
        <w:t>AD1-</w:t>
      </w:r>
      <w:r w:rsidR="00D01C82">
        <w:rPr>
          <w:sz w:val="24"/>
          <w:szCs w:val="24"/>
        </w:rPr>
        <w:t>1519</w:t>
      </w:r>
      <w:r>
        <w:rPr>
          <w:sz w:val="24"/>
          <w:szCs w:val="24"/>
        </w:rPr>
        <w:t xml:space="preserve"> „Dėl </w:t>
      </w:r>
      <w:r w:rsidR="00723BDC">
        <w:rPr>
          <w:sz w:val="24"/>
          <w:szCs w:val="24"/>
        </w:rPr>
        <w:t>K</w:t>
      </w:r>
      <w:r w:rsidR="00723BDC" w:rsidRPr="00723BDC">
        <w:rPr>
          <w:sz w:val="24"/>
          <w:szCs w:val="24"/>
        </w:rPr>
        <w:t>laipėdos miesto savivaldybės administracijos direktoriau</w:t>
      </w:r>
      <w:r w:rsidR="00723BDC">
        <w:rPr>
          <w:sz w:val="24"/>
          <w:szCs w:val="24"/>
        </w:rPr>
        <w:t>s 2020 m. spalio 23 d. įsakymo Nr. AD1-</w:t>
      </w:r>
      <w:r w:rsidR="00723BDC" w:rsidRPr="00392D55">
        <w:rPr>
          <w:sz w:val="24"/>
          <w:szCs w:val="24"/>
        </w:rPr>
        <w:t>11</w:t>
      </w:r>
      <w:r w:rsidR="00392D55" w:rsidRPr="00392D55">
        <w:rPr>
          <w:sz w:val="24"/>
          <w:szCs w:val="24"/>
        </w:rPr>
        <w:t>60</w:t>
      </w:r>
      <w:r w:rsidR="00723BDC">
        <w:rPr>
          <w:sz w:val="24"/>
          <w:szCs w:val="24"/>
        </w:rPr>
        <w:t xml:space="preserve"> „D</w:t>
      </w:r>
      <w:r w:rsidR="00723BDC" w:rsidRPr="00723BDC">
        <w:rPr>
          <w:sz w:val="24"/>
          <w:szCs w:val="24"/>
        </w:rPr>
        <w:t>ėl saugomų kultūros paveldo objektų tvarkybos ir (ar) apsaugos techninių priemonių įrengimo darbų dalinio finansavimo sąmatos“ pakeitimo</w:t>
      </w:r>
      <w:r>
        <w:rPr>
          <w:sz w:val="24"/>
          <w:szCs w:val="24"/>
        </w:rPr>
        <w:t>“</w:t>
      </w:r>
      <w:r w:rsidR="00F07BF0">
        <w:rPr>
          <w:sz w:val="24"/>
          <w:szCs w:val="24"/>
        </w:rPr>
        <w:t xml:space="preserve"> ir </w:t>
      </w:r>
      <w:r w:rsidR="00A81FCE">
        <w:rPr>
          <w:sz w:val="24"/>
          <w:szCs w:val="24"/>
        </w:rPr>
        <w:t>Klaipėdos miesto savivaldybės strateginio veiklos plano priemonės „Kultūros paveldo objektų tvarkyba“ darbo grupės lėšoms paskirstyt</w:t>
      </w:r>
      <w:r w:rsidR="00F07BF0">
        <w:rPr>
          <w:sz w:val="24"/>
          <w:szCs w:val="24"/>
        </w:rPr>
        <w:t xml:space="preserve">i posėdžio </w:t>
      </w:r>
      <w:r w:rsidR="00D01C82">
        <w:rPr>
          <w:sz w:val="24"/>
          <w:szCs w:val="24"/>
        </w:rPr>
        <w:t>2022</w:t>
      </w:r>
      <w:r w:rsidR="00E44DAD">
        <w:rPr>
          <w:sz w:val="24"/>
          <w:szCs w:val="24"/>
        </w:rPr>
        <w:noBreakHyphen/>
      </w:r>
      <w:r w:rsidR="00D01C82">
        <w:rPr>
          <w:sz w:val="24"/>
          <w:szCs w:val="24"/>
        </w:rPr>
        <w:t>12</w:t>
      </w:r>
      <w:r w:rsidR="00E44DAD">
        <w:rPr>
          <w:sz w:val="24"/>
          <w:szCs w:val="24"/>
        </w:rPr>
        <w:noBreakHyphen/>
      </w:r>
      <w:r w:rsidR="00D01C82">
        <w:rPr>
          <w:color w:val="000000" w:themeColor="text1"/>
          <w:sz w:val="24"/>
          <w:szCs w:val="24"/>
        </w:rPr>
        <w:t>05</w:t>
      </w:r>
      <w:r w:rsidR="00D54FDB" w:rsidRPr="003C199C">
        <w:rPr>
          <w:color w:val="000000" w:themeColor="text1"/>
          <w:sz w:val="24"/>
          <w:szCs w:val="24"/>
        </w:rPr>
        <w:t xml:space="preserve"> </w:t>
      </w:r>
      <w:r w:rsidR="00F07BF0" w:rsidRPr="003C199C">
        <w:rPr>
          <w:color w:val="000000" w:themeColor="text1"/>
          <w:sz w:val="24"/>
          <w:szCs w:val="24"/>
        </w:rPr>
        <w:t>protokolu Nr. ADM-</w:t>
      </w:r>
      <w:r w:rsidR="00406329">
        <w:rPr>
          <w:color w:val="000000" w:themeColor="text1"/>
          <w:sz w:val="24"/>
          <w:szCs w:val="24"/>
        </w:rPr>
        <w:t>716</w:t>
      </w:r>
      <w:r>
        <w:rPr>
          <w:sz w:val="24"/>
          <w:szCs w:val="24"/>
        </w:rPr>
        <w:t>, taip pat remi</w:t>
      </w:r>
      <w:r w:rsidR="00EA1877">
        <w:rPr>
          <w:sz w:val="24"/>
          <w:szCs w:val="24"/>
        </w:rPr>
        <w:t>antis tarp Šalių pasirašytu 2022</w:t>
      </w:r>
      <w:r w:rsidR="009C32C4">
        <w:rPr>
          <w:sz w:val="24"/>
          <w:szCs w:val="24"/>
        </w:rPr>
        <w:t xml:space="preserve"> m. </w:t>
      </w:r>
      <w:r w:rsidR="004E565E">
        <w:rPr>
          <w:sz w:val="24"/>
          <w:szCs w:val="24"/>
        </w:rPr>
        <w:t>rugsėjo 27</w:t>
      </w:r>
      <w:r>
        <w:rPr>
          <w:sz w:val="24"/>
          <w:szCs w:val="24"/>
        </w:rPr>
        <w:t xml:space="preserve"> d. Saugomo kultūros paveldo objekto tvarkybos darbų dalinio finansavimo ketinimų protokolu Nr.</w:t>
      </w:r>
      <w:r w:rsidR="00E44DAD">
        <w:rPr>
          <w:sz w:val="24"/>
          <w:szCs w:val="24"/>
        </w:rPr>
        <w:t> </w:t>
      </w:r>
      <w:r>
        <w:rPr>
          <w:sz w:val="24"/>
          <w:szCs w:val="24"/>
        </w:rPr>
        <w:t>J9</w:t>
      </w:r>
      <w:r w:rsidR="00E44DAD">
        <w:rPr>
          <w:sz w:val="24"/>
          <w:szCs w:val="24"/>
        </w:rPr>
        <w:noBreakHyphen/>
      </w:r>
      <w:r w:rsidR="00FE566D">
        <w:rPr>
          <w:sz w:val="24"/>
          <w:szCs w:val="24"/>
        </w:rPr>
        <w:t>3198</w:t>
      </w:r>
      <w:r w:rsidR="00CD2A0B">
        <w:rPr>
          <w:sz w:val="24"/>
          <w:szCs w:val="24"/>
        </w:rPr>
        <w:t xml:space="preserve"> </w:t>
      </w:r>
      <w:r>
        <w:rPr>
          <w:sz w:val="24"/>
          <w:szCs w:val="24"/>
        </w:rPr>
        <w:t>už kultūros paveldo objekto (</w:t>
      </w:r>
      <w:r w:rsidR="00B96B3C">
        <w:rPr>
          <w:sz w:val="24"/>
          <w:szCs w:val="24"/>
        </w:rPr>
        <w:t>..............</w:t>
      </w:r>
      <w:r>
        <w:rPr>
          <w:sz w:val="24"/>
          <w:szCs w:val="24"/>
        </w:rPr>
        <w:t>) tvarkybos darbus.</w:t>
      </w:r>
    </w:p>
    <w:p w14:paraId="3BC862BD" w14:textId="77777777" w:rsidR="003D2774" w:rsidRDefault="003D2774" w:rsidP="0030737C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</w:p>
    <w:p w14:paraId="3BC862BE" w14:textId="77777777" w:rsidR="003D2774" w:rsidRDefault="003D2774" w:rsidP="0030737C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III. SUTARTIES Šalių teisės ir pareigos</w:t>
      </w:r>
    </w:p>
    <w:p w14:paraId="3BC862BF" w14:textId="77777777" w:rsidR="003D2774" w:rsidRDefault="003D2774" w:rsidP="0030737C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14:paraId="3BC862C0" w14:textId="77777777" w:rsidR="003D2774" w:rsidRDefault="003D2774" w:rsidP="00B67B95">
      <w:pPr>
        <w:numPr>
          <w:ilvl w:val="0"/>
          <w:numId w:val="1"/>
        </w:numPr>
        <w:tabs>
          <w:tab w:val="left" w:pos="993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Administracija įsipareigoja:</w:t>
      </w:r>
    </w:p>
    <w:p w14:paraId="3249DEA3" w14:textId="2A9D59DF" w:rsidR="004B5DE9" w:rsidRPr="00D54FDB" w:rsidRDefault="003D2774" w:rsidP="00B17D26">
      <w:pPr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54FDB">
        <w:rPr>
          <w:sz w:val="24"/>
          <w:szCs w:val="24"/>
        </w:rPr>
        <w:t>finansuoti šios sutarties 1 punkte nurodytos programos vykdymą ir pervesti įvardytas lėšas į Valdytojo sąskaitą Nr.</w:t>
      </w:r>
      <w:r w:rsidR="00A90946" w:rsidRPr="00D54FDB">
        <w:rPr>
          <w:sz w:val="24"/>
          <w:szCs w:val="24"/>
        </w:rPr>
        <w:t> </w:t>
      </w:r>
      <w:r w:rsidR="00E40472">
        <w:rPr>
          <w:b/>
          <w:bCs/>
          <w:color w:val="000000"/>
          <w:sz w:val="24"/>
          <w:szCs w:val="24"/>
        </w:rPr>
        <w:t>LT</w:t>
      </w:r>
      <w:r w:rsidR="00B96B3C">
        <w:rPr>
          <w:b/>
          <w:sz w:val="24"/>
          <w:szCs w:val="24"/>
        </w:rPr>
        <w:t>..............</w:t>
      </w:r>
      <w:r w:rsidRPr="00194311">
        <w:rPr>
          <w:color w:val="000000" w:themeColor="text1"/>
          <w:sz w:val="24"/>
          <w:szCs w:val="24"/>
        </w:rPr>
        <w:t xml:space="preserve">, </w:t>
      </w:r>
      <w:r w:rsidRPr="00D54FDB">
        <w:rPr>
          <w:color w:val="000000" w:themeColor="text1"/>
          <w:sz w:val="24"/>
          <w:szCs w:val="24"/>
        </w:rPr>
        <w:t xml:space="preserve">esančią </w:t>
      </w:r>
      <w:proofErr w:type="spellStart"/>
      <w:r w:rsidR="00194311">
        <w:rPr>
          <w:color w:val="000000" w:themeColor="text1"/>
          <w:sz w:val="24"/>
          <w:szCs w:val="24"/>
        </w:rPr>
        <w:t>Luminor</w:t>
      </w:r>
      <w:proofErr w:type="spellEnd"/>
      <w:r w:rsidR="00194311">
        <w:rPr>
          <w:color w:val="000000" w:themeColor="text1"/>
          <w:sz w:val="24"/>
          <w:szCs w:val="24"/>
        </w:rPr>
        <w:t xml:space="preserve"> Bank AS</w:t>
      </w:r>
      <w:r w:rsidR="00E44DAD">
        <w:rPr>
          <w:color w:val="000000" w:themeColor="text1"/>
          <w:sz w:val="24"/>
          <w:szCs w:val="24"/>
        </w:rPr>
        <w:t xml:space="preserve"> Lietuvos skyriuje</w:t>
      </w:r>
      <w:r w:rsidRPr="00D54FDB">
        <w:rPr>
          <w:sz w:val="24"/>
          <w:szCs w:val="24"/>
        </w:rPr>
        <w:t xml:space="preserve">, per 20 darbo dienų po sutarties pasirašymo; </w:t>
      </w:r>
      <w:r w:rsidR="004B5DE9" w:rsidRPr="00D54FDB">
        <w:rPr>
          <w:b/>
          <w:sz w:val="24"/>
          <w:szCs w:val="24"/>
        </w:rPr>
        <w:t>finansavimo šaltinis</w:t>
      </w:r>
      <w:r w:rsidR="004B5DE9" w:rsidRPr="00D54FDB">
        <w:rPr>
          <w:sz w:val="24"/>
          <w:szCs w:val="24"/>
        </w:rPr>
        <w:t xml:space="preserve">: Klaipėdos miesto savivaldybės biudžeto lėšos (01) 01.03.01.03 (Miesto urbanistinio planavimo programa, </w:t>
      </w:r>
      <w:r w:rsidR="00D54FDB">
        <w:rPr>
          <w:sz w:val="24"/>
          <w:szCs w:val="24"/>
        </w:rPr>
        <w:t>priemonė „</w:t>
      </w:r>
      <w:r w:rsidR="004B5DE9" w:rsidRPr="00D54FDB">
        <w:rPr>
          <w:sz w:val="24"/>
          <w:szCs w:val="24"/>
        </w:rPr>
        <w:t>Kultūros paveldo objektų tvarkyba: Kultūros paveldo objektų tvarkybos darbų vykdymas</w:t>
      </w:r>
      <w:r w:rsidR="00D54FDB">
        <w:rPr>
          <w:sz w:val="24"/>
          <w:szCs w:val="24"/>
        </w:rPr>
        <w:t>“</w:t>
      </w:r>
      <w:r w:rsidR="004B5DE9" w:rsidRPr="00D54FDB">
        <w:rPr>
          <w:sz w:val="24"/>
          <w:szCs w:val="24"/>
        </w:rPr>
        <w:t>. Priemonės kodas – (01)01.03.02.01);</w:t>
      </w:r>
    </w:p>
    <w:p w14:paraId="3BC862C2" w14:textId="77777777" w:rsidR="003D2774" w:rsidRDefault="003D2774" w:rsidP="0030737C">
      <w:pPr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teikti Valdytojui metodinę ir informacinę pagalbą rengiant atsiskaitymo dokumentus.</w:t>
      </w:r>
    </w:p>
    <w:p w14:paraId="3BC862C3" w14:textId="77777777" w:rsidR="003D2774" w:rsidRDefault="003D2774" w:rsidP="00B67B95">
      <w:pPr>
        <w:numPr>
          <w:ilvl w:val="0"/>
          <w:numId w:val="1"/>
        </w:numPr>
        <w:tabs>
          <w:tab w:val="left" w:pos="993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Administracija turi teisę:</w:t>
      </w:r>
    </w:p>
    <w:p w14:paraId="3BC862C4" w14:textId="77777777" w:rsidR="003D2774" w:rsidRDefault="003D2774" w:rsidP="0030737C">
      <w:pPr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reikalauti, kad Valdytojas pateiktų duomenis, susijusius su programos ar sutarties vykdymu ir savivaldybės biudžeto lėšų panaudojimu; </w:t>
      </w:r>
    </w:p>
    <w:p w14:paraId="3BC862C5" w14:textId="77777777" w:rsidR="003D2774" w:rsidRDefault="003D2774" w:rsidP="0030737C">
      <w:pPr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kontroliuoti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šios sutarties pagrindu </w:t>
      </w:r>
      <w:r>
        <w:rPr>
          <w:bCs/>
          <w:sz w:val="24"/>
          <w:szCs w:val="24"/>
        </w:rPr>
        <w:t>skirtų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lėšų panaudojimo teisėtumą ir tikslingumą;</w:t>
      </w:r>
    </w:p>
    <w:p w14:paraId="3BC862C6" w14:textId="77777777" w:rsidR="003D2774" w:rsidRDefault="003D2774" w:rsidP="0030737C">
      <w:pPr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reikalauti grąžinti nepanaudotas arba ne pagal paskirtį panaudotas biudžeto lėšas.</w:t>
      </w:r>
    </w:p>
    <w:p w14:paraId="3BC862C7" w14:textId="77777777" w:rsidR="003D2774" w:rsidRDefault="003D2774" w:rsidP="00B67B95">
      <w:pPr>
        <w:numPr>
          <w:ilvl w:val="0"/>
          <w:numId w:val="1"/>
        </w:numPr>
        <w:tabs>
          <w:tab w:val="left" w:pos="993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Valdytojas įsipareigoja:</w:t>
      </w:r>
    </w:p>
    <w:p w14:paraId="3BC862C8" w14:textId="77777777" w:rsidR="003D2774" w:rsidRDefault="003D2774" w:rsidP="0030737C">
      <w:pPr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pateikti kitus susijusius dokumentus dėl apmokėjimo pagal pareikalavimą;</w:t>
      </w:r>
    </w:p>
    <w:p w14:paraId="3BC862C9" w14:textId="77777777" w:rsidR="003D2774" w:rsidRDefault="003D2774" w:rsidP="0030737C">
      <w:pPr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užtikrinti pateiktų dokumentų tikslumą bei teisėtumą;</w:t>
      </w:r>
    </w:p>
    <w:p w14:paraId="3BC862CA" w14:textId="77777777" w:rsidR="003D2774" w:rsidRDefault="003D2774" w:rsidP="0030737C">
      <w:pPr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prižiūrėti kultūros paveldo objektą, kuriame buvo atlikti paveldo tvarkybos darbai, laiku šalinti atsiradusius defektus ir saugoti nuo neigiamo aplinkos poveikio.</w:t>
      </w:r>
    </w:p>
    <w:p w14:paraId="5BAEF9CD" w14:textId="6A482B41" w:rsidR="009C32C4" w:rsidRDefault="003D2774" w:rsidP="00B67B95">
      <w:pPr>
        <w:numPr>
          <w:ilvl w:val="0"/>
          <w:numId w:val="1"/>
        </w:numPr>
        <w:tabs>
          <w:tab w:val="left" w:pos="993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Šalys įsipareigoja vykd</w:t>
      </w:r>
      <w:r w:rsidR="00D54FDB">
        <w:rPr>
          <w:sz w:val="24"/>
          <w:szCs w:val="24"/>
        </w:rPr>
        <w:t>ydamos</w:t>
      </w:r>
      <w:r>
        <w:rPr>
          <w:sz w:val="24"/>
          <w:szCs w:val="24"/>
        </w:rPr>
        <w:t xml:space="preserve"> sutartį taikyti nereikšmingos (</w:t>
      </w:r>
      <w:r>
        <w:rPr>
          <w:i/>
          <w:iCs/>
          <w:sz w:val="24"/>
          <w:szCs w:val="24"/>
        </w:rPr>
        <w:t xml:space="preserve">de </w:t>
      </w:r>
      <w:proofErr w:type="spellStart"/>
      <w:r>
        <w:rPr>
          <w:i/>
          <w:iCs/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) pagalbos suteikimo principus, nustatytus Sutartyje dėl Europos Sąjungos veikimo, Europos Komisijos </w:t>
      </w:r>
      <w:r>
        <w:rPr>
          <w:sz w:val="24"/>
          <w:szCs w:val="24"/>
        </w:rPr>
        <w:lastRenderedPageBreak/>
        <w:t>pranešime dėl Sutarties dėl Europos Sąjungos veikimo 107 straipsnio 1 dalyje vartojamos valstybės pagalbos sąvokos (2016/C 262/01) ir kit</w:t>
      </w:r>
      <w:r w:rsidR="00136D44">
        <w:rPr>
          <w:sz w:val="24"/>
          <w:szCs w:val="24"/>
        </w:rPr>
        <w:t>u</w:t>
      </w:r>
      <w:r>
        <w:rPr>
          <w:sz w:val="24"/>
          <w:szCs w:val="24"/>
        </w:rPr>
        <w:t>ose teisės aktuose, kurie reglamentuoja nereikšmingos (</w:t>
      </w:r>
      <w:r>
        <w:rPr>
          <w:i/>
          <w:iCs/>
          <w:sz w:val="24"/>
          <w:szCs w:val="24"/>
        </w:rPr>
        <w:t xml:space="preserve">de </w:t>
      </w:r>
      <w:proofErr w:type="spellStart"/>
      <w:r>
        <w:rPr>
          <w:i/>
          <w:iCs/>
          <w:sz w:val="24"/>
          <w:szCs w:val="24"/>
        </w:rPr>
        <w:t>minimis</w:t>
      </w:r>
      <w:proofErr w:type="spellEnd"/>
      <w:r>
        <w:rPr>
          <w:sz w:val="24"/>
          <w:szCs w:val="24"/>
        </w:rPr>
        <w:t>) pagalbos suteikimą, nebent</w:t>
      </w:r>
      <w:r w:rsidR="00136D44">
        <w:rPr>
          <w:sz w:val="24"/>
          <w:szCs w:val="24"/>
        </w:rPr>
        <w:t>,</w:t>
      </w:r>
      <w:r>
        <w:rPr>
          <w:sz w:val="24"/>
          <w:szCs w:val="24"/>
        </w:rPr>
        <w:t xml:space="preserve"> paaiškėjus naujoms aplinkybėms, Šalys susitartų kitaip.</w:t>
      </w:r>
    </w:p>
    <w:p w14:paraId="7CEEEF80" w14:textId="77777777" w:rsidR="004B5DE9" w:rsidRPr="004B5DE9" w:rsidRDefault="004B5DE9" w:rsidP="0030737C">
      <w:pPr>
        <w:tabs>
          <w:tab w:val="left" w:pos="1190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3BC862CE" w14:textId="13881707" w:rsidR="003D2774" w:rsidRDefault="003D2774" w:rsidP="0030737C">
      <w:pPr>
        <w:tabs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KITOS SUTARTIES SĄLYGOS</w:t>
      </w:r>
    </w:p>
    <w:p w14:paraId="3BC862CF" w14:textId="77777777" w:rsidR="003D2774" w:rsidRDefault="003D2774" w:rsidP="0030737C">
      <w:pPr>
        <w:tabs>
          <w:tab w:val="left" w:pos="720"/>
        </w:tabs>
        <w:ind w:firstLine="741"/>
        <w:jc w:val="center"/>
        <w:rPr>
          <w:b/>
          <w:sz w:val="24"/>
          <w:szCs w:val="24"/>
        </w:rPr>
      </w:pPr>
    </w:p>
    <w:p w14:paraId="3BC862D0" w14:textId="77777777" w:rsidR="003D2774" w:rsidRDefault="003D2774" w:rsidP="00E44DAD">
      <w:pPr>
        <w:numPr>
          <w:ilvl w:val="0"/>
          <w:numId w:val="1"/>
        </w:numPr>
        <w:tabs>
          <w:tab w:val="left" w:pos="993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Sutartis įsigalioja nuo tos dienos, kai ją pasirašo abi sutarties Šalys, ir galioja iki visiško įsipareigojimų įvykdymo. </w:t>
      </w:r>
    </w:p>
    <w:p w14:paraId="3BC862D1" w14:textId="77777777" w:rsidR="003D2774" w:rsidRDefault="003D2774" w:rsidP="00E44DAD">
      <w:pPr>
        <w:numPr>
          <w:ilvl w:val="0"/>
          <w:numId w:val="1"/>
        </w:numPr>
        <w:tabs>
          <w:tab w:val="left" w:pos="993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Sutartis gali būti keičiama ar papildoma atskiru rašytiniu Šalių susitarimu. Sutarties pakeitimai ar papildymai įsigalioja nuo jų pasirašymo momento, jeigu juose pačiuose nenumatyta kitaip.</w:t>
      </w:r>
    </w:p>
    <w:p w14:paraId="3BC862D2" w14:textId="77777777" w:rsidR="003D2774" w:rsidRDefault="003D2774" w:rsidP="00E44DAD">
      <w:pPr>
        <w:numPr>
          <w:ilvl w:val="0"/>
          <w:numId w:val="1"/>
        </w:numPr>
        <w:tabs>
          <w:tab w:val="left" w:pos="993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Visi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sutarties priedai ir pakeitimai, sudaryti rašytine forma, laikomi neatskiriama šios sutarties dalimi.</w:t>
      </w:r>
    </w:p>
    <w:p w14:paraId="3BC862D3" w14:textId="77777777" w:rsidR="003D2774" w:rsidRDefault="003D2774" w:rsidP="00E44DAD">
      <w:pPr>
        <w:numPr>
          <w:ilvl w:val="0"/>
          <w:numId w:val="1"/>
        </w:numPr>
        <w:tabs>
          <w:tab w:val="left" w:pos="993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Sutartis gali būti nutraukta abipusiu Šalių susitarimu.</w:t>
      </w:r>
    </w:p>
    <w:p w14:paraId="3BC862D4" w14:textId="77777777" w:rsidR="003D2774" w:rsidRDefault="003D2774" w:rsidP="0030737C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Administracija turi teisę vienašališkai sustabdyti tolesnį lėšų mokėjimą ir (arba) nutraukti sutartį, apie tai įspėjusi Valdytoją ne vėliau kaip prieš 5 (penkias) darbo dienas, jeigu:</w:t>
      </w:r>
    </w:p>
    <w:p w14:paraId="3BC862D5" w14:textId="77777777" w:rsidR="003D2774" w:rsidRDefault="003D2774" w:rsidP="0030737C">
      <w:pPr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Valdytojas pažeidė sutarties sąlygas ar laiku jų nevykdė;</w:t>
      </w:r>
    </w:p>
    <w:p w14:paraId="3BC862D6" w14:textId="77777777" w:rsidR="003D2774" w:rsidRDefault="003D2774" w:rsidP="0030737C">
      <w:pPr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nustatoma, kad strateginio veiklos plano priemonei „Kultūros paveldo objektų tvarkyba“ skirtas lėšas Valdytojas panaudojo ne pagal paskirtį;</w:t>
      </w:r>
    </w:p>
    <w:p w14:paraId="3BC862D7" w14:textId="6DB0522C" w:rsidR="003D2774" w:rsidRDefault="003D2774" w:rsidP="0030737C">
      <w:pPr>
        <w:numPr>
          <w:ilvl w:val="1"/>
          <w:numId w:val="1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paaiškėja, kad Valdytojas pateikė klaidingus duomenis, kurių pagrindu buvo skirtos savivaldybės biudžeto lėšos.</w:t>
      </w:r>
    </w:p>
    <w:p w14:paraId="3BC862D8" w14:textId="77777777" w:rsidR="003D2774" w:rsidRDefault="003D2774" w:rsidP="0030737C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Administracijai nutraukus sutartį vadovaujantis šios sutarties 9.2 ir 9.3 papunkčiais, Valdytojas privalo į Administracijos nurodytą sąskaitą grąžinti visas šios sutarties pagrindu išmokėtas lėšas.</w:t>
      </w:r>
    </w:p>
    <w:p w14:paraId="3BC862D9" w14:textId="77777777" w:rsidR="003D2774" w:rsidRDefault="003D2774" w:rsidP="0030737C">
      <w:pPr>
        <w:tabs>
          <w:tab w:val="left" w:pos="684"/>
          <w:tab w:val="left" w:pos="1190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3BC862DA" w14:textId="77777777" w:rsidR="003D2774" w:rsidRDefault="003D2774" w:rsidP="0030737C">
      <w:pPr>
        <w:tabs>
          <w:tab w:val="left" w:pos="6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BAIGIAMOSIOS NUOSTATOS</w:t>
      </w:r>
    </w:p>
    <w:p w14:paraId="3BC862DB" w14:textId="77777777" w:rsidR="003D2774" w:rsidRDefault="003D2774" w:rsidP="0030737C">
      <w:pPr>
        <w:tabs>
          <w:tab w:val="left" w:pos="684"/>
        </w:tabs>
        <w:ind w:firstLine="741"/>
        <w:jc w:val="center"/>
        <w:rPr>
          <w:b/>
          <w:sz w:val="24"/>
          <w:szCs w:val="24"/>
        </w:rPr>
      </w:pPr>
    </w:p>
    <w:p w14:paraId="3BC862DC" w14:textId="77777777" w:rsidR="003D2774" w:rsidRDefault="003D2774" w:rsidP="0030737C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Ginčai dėl šios sutarties vykdymo sprendžiami Šalių susitarimu, o nesusitarus – Lietuvos Respublikos įstatymų nustatyta tvarka. </w:t>
      </w:r>
    </w:p>
    <w:p w14:paraId="3BC862DD" w14:textId="77777777" w:rsidR="003D2774" w:rsidRDefault="003D2774" w:rsidP="0030737C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Ši sutartis sudaryta lietuvių kalba 2 (dviem) egzemplioriais, kurių kiekvienas turi vienodą juridinę galią.</w:t>
      </w:r>
    </w:p>
    <w:p w14:paraId="3BC862DE" w14:textId="77777777" w:rsidR="003D2774" w:rsidRDefault="003D2774" w:rsidP="0030737C">
      <w:pPr>
        <w:numPr>
          <w:ilvl w:val="0"/>
          <w:numId w:val="1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Sutarties pakeitimai galimi tik pasirašant atskirą susitarimą prie sutarties.</w:t>
      </w:r>
    </w:p>
    <w:p w14:paraId="3BC862DF" w14:textId="77777777" w:rsidR="003D2774" w:rsidRDefault="003D2774" w:rsidP="0030737C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</w:p>
    <w:p w14:paraId="273DDE65" w14:textId="27A19DC4" w:rsidR="00D54FDB" w:rsidRDefault="00D54FDB" w:rsidP="00D54FDB">
      <w:pPr>
        <w:tabs>
          <w:tab w:val="num" w:pos="360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VI. ŠALIŲ JURIDINIAI adresai ir REKVIZITAI</w:t>
      </w:r>
    </w:p>
    <w:p w14:paraId="79B1001F" w14:textId="77777777" w:rsidR="00D54FDB" w:rsidRDefault="00D54FDB" w:rsidP="0030737C">
      <w:pPr>
        <w:tabs>
          <w:tab w:val="num" w:pos="360"/>
        </w:tabs>
        <w:jc w:val="center"/>
        <w:rPr>
          <w:b/>
          <w:caps/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387"/>
        <w:gridCol w:w="4318"/>
      </w:tblGrid>
      <w:tr w:rsidR="003D2774" w14:paraId="3BC862FE" w14:textId="77777777" w:rsidTr="003D2774">
        <w:trPr>
          <w:trHeight w:val="80"/>
        </w:trPr>
        <w:tc>
          <w:tcPr>
            <w:tcW w:w="5387" w:type="dxa"/>
          </w:tcPr>
          <w:p w14:paraId="3BC862E4" w14:textId="77777777" w:rsidR="003D2774" w:rsidRPr="00B51B37" w:rsidRDefault="003D2774" w:rsidP="0030737C">
            <w:pPr>
              <w:tabs>
                <w:tab w:val="num" w:pos="360"/>
              </w:tabs>
              <w:jc w:val="both"/>
              <w:rPr>
                <w:b/>
                <w:caps/>
                <w:color w:val="000000" w:themeColor="text1"/>
                <w:sz w:val="24"/>
                <w:szCs w:val="24"/>
              </w:rPr>
            </w:pPr>
            <w:r w:rsidRPr="00B51B37">
              <w:rPr>
                <w:b/>
                <w:caps/>
                <w:color w:val="000000" w:themeColor="text1"/>
                <w:sz w:val="24"/>
                <w:szCs w:val="24"/>
              </w:rPr>
              <w:t>Administracija</w:t>
            </w:r>
          </w:p>
          <w:p w14:paraId="3BC862E5" w14:textId="77777777" w:rsidR="003D2774" w:rsidRPr="00B51B37" w:rsidRDefault="003D2774" w:rsidP="0030737C">
            <w:pPr>
              <w:tabs>
                <w:tab w:val="num" w:pos="360"/>
              </w:tabs>
              <w:rPr>
                <w:color w:val="000000" w:themeColor="text1"/>
                <w:sz w:val="24"/>
                <w:szCs w:val="24"/>
              </w:rPr>
            </w:pPr>
            <w:r w:rsidRPr="00B51B37">
              <w:rPr>
                <w:color w:val="000000" w:themeColor="text1"/>
                <w:sz w:val="24"/>
                <w:szCs w:val="24"/>
              </w:rPr>
              <w:t>Klaipėdos miesto savivaldybės administracija</w:t>
            </w:r>
          </w:p>
          <w:p w14:paraId="3BC862E6" w14:textId="77777777" w:rsidR="003D2774" w:rsidRPr="00B51B37" w:rsidRDefault="003D2774" w:rsidP="0030737C">
            <w:pPr>
              <w:tabs>
                <w:tab w:val="num" w:pos="360"/>
              </w:tabs>
              <w:rPr>
                <w:color w:val="000000" w:themeColor="text1"/>
                <w:sz w:val="24"/>
                <w:szCs w:val="24"/>
              </w:rPr>
            </w:pPr>
            <w:r w:rsidRPr="00B51B37">
              <w:rPr>
                <w:color w:val="000000" w:themeColor="text1"/>
                <w:sz w:val="24"/>
                <w:szCs w:val="24"/>
              </w:rPr>
              <w:t>Kodas 188710823</w:t>
            </w:r>
          </w:p>
          <w:p w14:paraId="3BC862E7" w14:textId="77777777" w:rsidR="003D2774" w:rsidRPr="00B51B37" w:rsidRDefault="003D2774" w:rsidP="0030737C">
            <w:pPr>
              <w:tabs>
                <w:tab w:val="num" w:pos="360"/>
              </w:tabs>
              <w:rPr>
                <w:color w:val="000000" w:themeColor="text1"/>
                <w:sz w:val="24"/>
                <w:szCs w:val="24"/>
              </w:rPr>
            </w:pPr>
            <w:r w:rsidRPr="00B51B37">
              <w:rPr>
                <w:color w:val="000000" w:themeColor="text1"/>
                <w:sz w:val="24"/>
                <w:szCs w:val="24"/>
              </w:rPr>
              <w:t>Liepų g. 11, 91502 Klaipėda</w:t>
            </w:r>
          </w:p>
          <w:p w14:paraId="3BC862E8" w14:textId="77777777" w:rsidR="003D2774" w:rsidRPr="00B51B37" w:rsidRDefault="003D2774" w:rsidP="0030737C">
            <w:pPr>
              <w:tabs>
                <w:tab w:val="num" w:pos="360"/>
              </w:tabs>
              <w:rPr>
                <w:color w:val="000000" w:themeColor="text1"/>
                <w:sz w:val="24"/>
                <w:szCs w:val="24"/>
              </w:rPr>
            </w:pPr>
            <w:r w:rsidRPr="00B51B37">
              <w:rPr>
                <w:color w:val="000000" w:themeColor="text1"/>
                <w:sz w:val="24"/>
                <w:szCs w:val="24"/>
              </w:rPr>
              <w:t>Tel. (8 46)  39 60 66</w:t>
            </w:r>
          </w:p>
          <w:p w14:paraId="3033B391" w14:textId="77777777" w:rsidR="00E44DAD" w:rsidRPr="00B51B37" w:rsidRDefault="00E44DAD" w:rsidP="00E44DAD">
            <w:pPr>
              <w:tabs>
                <w:tab w:val="num" w:pos="360"/>
              </w:tabs>
              <w:rPr>
                <w:color w:val="000000" w:themeColor="text1"/>
                <w:sz w:val="24"/>
                <w:szCs w:val="24"/>
              </w:rPr>
            </w:pPr>
            <w:r w:rsidRPr="00B51B37">
              <w:rPr>
                <w:color w:val="000000" w:themeColor="text1"/>
                <w:sz w:val="24"/>
                <w:szCs w:val="24"/>
              </w:rPr>
              <w:t>A. s. LT76 7300 0100 0233 2508</w:t>
            </w:r>
          </w:p>
          <w:p w14:paraId="7FD64D64" w14:textId="27787EDF" w:rsidR="0030737C" w:rsidRPr="00B51B37" w:rsidRDefault="003D2774" w:rsidP="00E44DAD">
            <w:pPr>
              <w:tabs>
                <w:tab w:val="num" w:pos="360"/>
              </w:tabs>
              <w:rPr>
                <w:color w:val="000000" w:themeColor="text1"/>
                <w:sz w:val="24"/>
                <w:szCs w:val="24"/>
              </w:rPr>
            </w:pPr>
            <w:r w:rsidRPr="00B51B37">
              <w:rPr>
                <w:color w:val="000000" w:themeColor="text1"/>
                <w:sz w:val="24"/>
                <w:szCs w:val="24"/>
              </w:rPr>
              <w:t>„Swedbank“, AB</w:t>
            </w:r>
            <w:r w:rsidR="0030737C" w:rsidRPr="00B51B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BC862E9" w14:textId="5B63E3C5" w:rsidR="003D2774" w:rsidRPr="00B51B37" w:rsidRDefault="0030737C" w:rsidP="0030737C">
            <w:pPr>
              <w:tabs>
                <w:tab w:val="num" w:pos="360"/>
              </w:tabs>
              <w:rPr>
                <w:color w:val="000000" w:themeColor="text1"/>
                <w:sz w:val="24"/>
                <w:szCs w:val="24"/>
              </w:rPr>
            </w:pPr>
            <w:r w:rsidRPr="00B51B37">
              <w:rPr>
                <w:color w:val="000000" w:themeColor="text1"/>
                <w:sz w:val="24"/>
                <w:szCs w:val="24"/>
              </w:rPr>
              <w:t>Banko kodas</w:t>
            </w:r>
            <w:r w:rsidR="003D2774" w:rsidRPr="00B51B37">
              <w:rPr>
                <w:color w:val="000000" w:themeColor="text1"/>
                <w:sz w:val="24"/>
                <w:szCs w:val="24"/>
              </w:rPr>
              <w:t xml:space="preserve"> 73000</w:t>
            </w:r>
          </w:p>
          <w:p w14:paraId="3BC862EB" w14:textId="77777777" w:rsidR="003D2774" w:rsidRPr="00B51B37" w:rsidRDefault="003D2774" w:rsidP="0030737C">
            <w:pPr>
              <w:tabs>
                <w:tab w:val="num" w:pos="360"/>
              </w:tabs>
              <w:rPr>
                <w:color w:val="000000" w:themeColor="text1"/>
                <w:sz w:val="24"/>
                <w:szCs w:val="24"/>
              </w:rPr>
            </w:pPr>
          </w:p>
          <w:p w14:paraId="3BC862EC" w14:textId="77777777" w:rsidR="003D2774" w:rsidRPr="00B51B37" w:rsidRDefault="003D2774" w:rsidP="0030737C">
            <w:pPr>
              <w:tabs>
                <w:tab w:val="num" w:pos="360"/>
              </w:tabs>
              <w:rPr>
                <w:color w:val="000000" w:themeColor="text1"/>
                <w:sz w:val="24"/>
                <w:szCs w:val="24"/>
              </w:rPr>
            </w:pPr>
            <w:r w:rsidRPr="00B51B37">
              <w:rPr>
                <w:color w:val="000000" w:themeColor="text1"/>
                <w:sz w:val="24"/>
                <w:szCs w:val="24"/>
              </w:rPr>
              <w:t xml:space="preserve">Savivaldybės administracijos direktorius </w:t>
            </w:r>
          </w:p>
          <w:p w14:paraId="3BC862F0" w14:textId="280A0854" w:rsidR="003D2774" w:rsidRPr="00B51B37" w:rsidRDefault="00B96B3C" w:rsidP="0030737C">
            <w:pPr>
              <w:tabs>
                <w:tab w:val="num" w:pos="36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..........</w:t>
            </w:r>
            <w:r w:rsidR="003D2774" w:rsidRPr="00B51B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18" w:type="dxa"/>
          </w:tcPr>
          <w:p w14:paraId="3BC862F1" w14:textId="77777777" w:rsidR="003D2774" w:rsidRPr="00B51B37" w:rsidRDefault="003D2774" w:rsidP="0030737C">
            <w:pPr>
              <w:ind w:left="-26" w:hanging="41"/>
              <w:rPr>
                <w:b/>
                <w:color w:val="000000" w:themeColor="text1"/>
                <w:sz w:val="24"/>
                <w:szCs w:val="24"/>
              </w:rPr>
            </w:pPr>
            <w:r w:rsidRPr="00B51B37">
              <w:rPr>
                <w:b/>
                <w:color w:val="000000" w:themeColor="text1"/>
                <w:sz w:val="24"/>
                <w:szCs w:val="24"/>
              </w:rPr>
              <w:t>VALDYTOJAS</w:t>
            </w:r>
          </w:p>
          <w:p w14:paraId="3BC862F2" w14:textId="4C9FCCAB" w:rsidR="003D2774" w:rsidRPr="00B51B37" w:rsidRDefault="00B96B3C" w:rsidP="0030737C">
            <w:pPr>
              <w:tabs>
                <w:tab w:val="num" w:pos="36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</w:t>
            </w:r>
          </w:p>
          <w:p w14:paraId="3BC862F3" w14:textId="3233981B" w:rsidR="003D2774" w:rsidRPr="00B51B37" w:rsidRDefault="003D2774" w:rsidP="0030737C">
            <w:pPr>
              <w:tabs>
                <w:tab w:val="num" w:pos="36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B51B37">
              <w:rPr>
                <w:color w:val="000000" w:themeColor="text1"/>
                <w:sz w:val="24"/>
                <w:szCs w:val="24"/>
              </w:rPr>
              <w:t>Kodas</w:t>
            </w:r>
            <w:r w:rsidR="0017620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7620C">
              <w:t xml:space="preserve"> </w:t>
            </w:r>
            <w:r w:rsidR="00B96B3C">
              <w:rPr>
                <w:sz w:val="24"/>
                <w:szCs w:val="24"/>
              </w:rPr>
              <w:t>........</w:t>
            </w:r>
          </w:p>
          <w:p w14:paraId="22F4661C" w14:textId="6D8A1947" w:rsidR="0017620C" w:rsidRPr="0017620C" w:rsidRDefault="00B96B3C" w:rsidP="00176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</w:t>
            </w:r>
            <w:r w:rsidR="0017620C" w:rsidRPr="0017620C">
              <w:rPr>
                <w:sz w:val="24"/>
                <w:szCs w:val="24"/>
              </w:rPr>
              <w:t xml:space="preserve"> Klaipėda</w:t>
            </w:r>
          </w:p>
          <w:p w14:paraId="0B7E8888" w14:textId="17E31817" w:rsidR="00D14904" w:rsidRDefault="00E44DAD" w:rsidP="00D14904">
            <w:r>
              <w:rPr>
                <w:color w:val="000000" w:themeColor="text1"/>
                <w:sz w:val="24"/>
                <w:szCs w:val="24"/>
              </w:rPr>
              <w:t>Mob</w:t>
            </w:r>
            <w:r w:rsidR="00171E89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96B3C">
              <w:rPr>
                <w:sz w:val="24"/>
                <w:szCs w:val="24"/>
                <w:lang w:val="en-US"/>
              </w:rPr>
              <w:t>……..</w:t>
            </w:r>
          </w:p>
          <w:p w14:paraId="617E9297" w14:textId="17241865" w:rsidR="00E44DAD" w:rsidRPr="00C118B0" w:rsidRDefault="00E44DAD" w:rsidP="00E44DAD">
            <w:pPr>
              <w:tabs>
                <w:tab w:val="num" w:pos="360"/>
              </w:tabs>
              <w:rPr>
                <w:color w:val="000000" w:themeColor="text1"/>
                <w:sz w:val="24"/>
                <w:szCs w:val="24"/>
              </w:rPr>
            </w:pPr>
            <w:r w:rsidRPr="00C118B0">
              <w:rPr>
                <w:color w:val="000000" w:themeColor="text1"/>
                <w:sz w:val="24"/>
                <w:szCs w:val="24"/>
              </w:rPr>
              <w:t xml:space="preserve">A. s. </w:t>
            </w:r>
            <w:r w:rsidRPr="00C118B0">
              <w:rPr>
                <w:bCs/>
                <w:color w:val="000000" w:themeColor="text1"/>
                <w:sz w:val="24"/>
                <w:szCs w:val="24"/>
              </w:rPr>
              <w:t>LT</w:t>
            </w:r>
            <w:r w:rsidR="00B96B3C">
              <w:rPr>
                <w:color w:val="000000" w:themeColor="text1"/>
                <w:sz w:val="24"/>
                <w:szCs w:val="24"/>
              </w:rPr>
              <w:t>.........</w:t>
            </w:r>
          </w:p>
          <w:p w14:paraId="56B2A26A" w14:textId="61D49B62" w:rsidR="006E7F2F" w:rsidRPr="00C118B0" w:rsidRDefault="0017620C" w:rsidP="0030737C">
            <w:pPr>
              <w:tabs>
                <w:tab w:val="num" w:pos="360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118B0">
              <w:rPr>
                <w:color w:val="000000" w:themeColor="text1"/>
                <w:sz w:val="24"/>
                <w:szCs w:val="24"/>
              </w:rPr>
              <w:t>Luminor</w:t>
            </w:r>
            <w:proofErr w:type="spellEnd"/>
            <w:r w:rsidRPr="00C118B0">
              <w:rPr>
                <w:color w:val="000000" w:themeColor="text1"/>
                <w:sz w:val="24"/>
                <w:szCs w:val="24"/>
              </w:rPr>
              <w:t xml:space="preserve"> Bank AS</w:t>
            </w:r>
            <w:r w:rsidR="00E44DAD">
              <w:rPr>
                <w:color w:val="000000" w:themeColor="text1"/>
                <w:sz w:val="24"/>
                <w:szCs w:val="24"/>
              </w:rPr>
              <w:t xml:space="preserve"> Lietuvos skyrius</w:t>
            </w:r>
            <w:r w:rsidR="006E7F2F" w:rsidRPr="00C118B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BC862F6" w14:textId="35C6E7A3" w:rsidR="003D2774" w:rsidRPr="00C118B0" w:rsidRDefault="0030737C" w:rsidP="0030737C">
            <w:pPr>
              <w:tabs>
                <w:tab w:val="num" w:pos="360"/>
              </w:tabs>
              <w:rPr>
                <w:color w:val="000000" w:themeColor="text1"/>
                <w:sz w:val="24"/>
                <w:szCs w:val="24"/>
              </w:rPr>
            </w:pPr>
            <w:r w:rsidRPr="00C118B0">
              <w:rPr>
                <w:color w:val="000000" w:themeColor="text1"/>
                <w:sz w:val="24"/>
                <w:szCs w:val="24"/>
              </w:rPr>
              <w:t>Banko</w:t>
            </w:r>
            <w:r w:rsidR="003D2774" w:rsidRPr="00C118B0">
              <w:rPr>
                <w:color w:val="000000" w:themeColor="text1"/>
                <w:sz w:val="24"/>
                <w:szCs w:val="24"/>
              </w:rPr>
              <w:t xml:space="preserve"> k</w:t>
            </w:r>
            <w:r w:rsidRPr="00C118B0">
              <w:rPr>
                <w:color w:val="000000" w:themeColor="text1"/>
                <w:sz w:val="24"/>
                <w:szCs w:val="24"/>
              </w:rPr>
              <w:t>odas</w:t>
            </w:r>
            <w:r w:rsidR="003D2774" w:rsidRPr="00C118B0">
              <w:rPr>
                <w:color w:val="000000" w:themeColor="text1"/>
                <w:sz w:val="24"/>
                <w:szCs w:val="24"/>
              </w:rPr>
              <w:t xml:space="preserve"> </w:t>
            </w:r>
            <w:r w:rsidR="00C118B0" w:rsidRPr="00C118B0">
              <w:rPr>
                <w:color w:val="000000" w:themeColor="text1"/>
                <w:sz w:val="24"/>
                <w:szCs w:val="24"/>
              </w:rPr>
              <w:t>40100</w:t>
            </w:r>
          </w:p>
          <w:p w14:paraId="3BC862F8" w14:textId="77777777" w:rsidR="003D2774" w:rsidRPr="00B51B37" w:rsidRDefault="003D2774" w:rsidP="0030737C">
            <w:pPr>
              <w:tabs>
                <w:tab w:val="num" w:pos="360"/>
              </w:tabs>
              <w:rPr>
                <w:color w:val="000000" w:themeColor="text1"/>
                <w:sz w:val="24"/>
                <w:szCs w:val="24"/>
              </w:rPr>
            </w:pPr>
          </w:p>
          <w:p w14:paraId="3BC862F9" w14:textId="6F396C6E" w:rsidR="003D2774" w:rsidRPr="00B51B37" w:rsidRDefault="00D14904" w:rsidP="0030737C">
            <w:pPr>
              <w:tabs>
                <w:tab w:val="num" w:pos="36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Direktorius</w:t>
            </w:r>
          </w:p>
          <w:p w14:paraId="3BC862FD" w14:textId="08F4C605" w:rsidR="003D2774" w:rsidRPr="00B51B37" w:rsidRDefault="00B96B3C" w:rsidP="0030737C">
            <w:pPr>
              <w:tabs>
                <w:tab w:val="num" w:pos="36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...........</w:t>
            </w:r>
            <w:bookmarkStart w:id="0" w:name="_GoBack"/>
            <w:bookmarkEnd w:id="0"/>
          </w:p>
        </w:tc>
      </w:tr>
    </w:tbl>
    <w:p w14:paraId="3BC86304" w14:textId="6A964506" w:rsidR="00BC6148" w:rsidRDefault="00BC6148" w:rsidP="0030737C">
      <w:pPr>
        <w:tabs>
          <w:tab w:val="num" w:pos="360"/>
        </w:tabs>
        <w:jc w:val="both"/>
        <w:rPr>
          <w:sz w:val="24"/>
          <w:szCs w:val="24"/>
        </w:rPr>
      </w:pPr>
    </w:p>
    <w:sectPr w:rsidR="00BC6148" w:rsidSect="003D2774">
      <w:headerReference w:type="default" r:id="rId7"/>
      <w:pgSz w:w="11907" w:h="16839" w:code="9"/>
      <w:pgMar w:top="851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0E473" w14:textId="77777777" w:rsidR="0030737C" w:rsidRDefault="0030737C" w:rsidP="00F41647">
      <w:r>
        <w:separator/>
      </w:r>
    </w:p>
  </w:endnote>
  <w:endnote w:type="continuationSeparator" w:id="0">
    <w:p w14:paraId="11B801E0" w14:textId="77777777" w:rsidR="0030737C" w:rsidRDefault="0030737C" w:rsidP="00F41647">
      <w:r>
        <w:continuationSeparator/>
      </w:r>
    </w:p>
  </w:endnote>
  <w:endnote w:type="continuationNotice" w:id="1">
    <w:p w14:paraId="592956C6" w14:textId="77777777" w:rsidR="001E3036" w:rsidRDefault="001E3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297E6" w14:textId="77777777" w:rsidR="0030737C" w:rsidRDefault="0030737C" w:rsidP="00F41647">
      <w:r>
        <w:separator/>
      </w:r>
    </w:p>
  </w:footnote>
  <w:footnote w:type="continuationSeparator" w:id="0">
    <w:p w14:paraId="78A802FC" w14:textId="77777777" w:rsidR="0030737C" w:rsidRDefault="0030737C" w:rsidP="00F41647">
      <w:r>
        <w:continuationSeparator/>
      </w:r>
    </w:p>
  </w:footnote>
  <w:footnote w:type="continuationNotice" w:id="1">
    <w:p w14:paraId="1C0F0161" w14:textId="77777777" w:rsidR="001E3036" w:rsidRDefault="001E3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9741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BC86309" w14:textId="007D7455" w:rsidR="0030737C" w:rsidRPr="000A696C" w:rsidRDefault="0030737C">
        <w:pPr>
          <w:pStyle w:val="Antrats"/>
          <w:jc w:val="center"/>
          <w:rPr>
            <w:sz w:val="24"/>
            <w:szCs w:val="24"/>
          </w:rPr>
        </w:pPr>
        <w:r w:rsidRPr="000A696C">
          <w:rPr>
            <w:sz w:val="24"/>
            <w:szCs w:val="24"/>
          </w:rPr>
          <w:fldChar w:fldCharType="begin"/>
        </w:r>
        <w:r w:rsidRPr="000A696C">
          <w:rPr>
            <w:sz w:val="24"/>
            <w:szCs w:val="24"/>
          </w:rPr>
          <w:instrText>PAGE   \* MERGEFORMAT</w:instrText>
        </w:r>
        <w:r w:rsidRPr="000A696C">
          <w:rPr>
            <w:sz w:val="24"/>
            <w:szCs w:val="24"/>
          </w:rPr>
          <w:fldChar w:fldCharType="separate"/>
        </w:r>
        <w:r w:rsidR="00B96B3C">
          <w:rPr>
            <w:noProof/>
            <w:sz w:val="24"/>
            <w:szCs w:val="24"/>
          </w:rPr>
          <w:t>2</w:t>
        </w:r>
        <w:r w:rsidRPr="000A696C">
          <w:rPr>
            <w:sz w:val="24"/>
            <w:szCs w:val="24"/>
          </w:rPr>
          <w:fldChar w:fldCharType="end"/>
        </w:r>
      </w:p>
    </w:sdtContent>
  </w:sdt>
  <w:p w14:paraId="3BC8630A" w14:textId="77777777" w:rsidR="0030737C" w:rsidRDefault="0030737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D76C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611DB"/>
    <w:rsid w:val="00071EBB"/>
    <w:rsid w:val="000944BF"/>
    <w:rsid w:val="00095F80"/>
    <w:rsid w:val="000A35EA"/>
    <w:rsid w:val="000A3627"/>
    <w:rsid w:val="000A696C"/>
    <w:rsid w:val="000E6C34"/>
    <w:rsid w:val="001143A2"/>
    <w:rsid w:val="00136D44"/>
    <w:rsid w:val="00140534"/>
    <w:rsid w:val="001444C8"/>
    <w:rsid w:val="001456CE"/>
    <w:rsid w:val="00163473"/>
    <w:rsid w:val="00171E89"/>
    <w:rsid w:val="0017620C"/>
    <w:rsid w:val="00194311"/>
    <w:rsid w:val="001971FC"/>
    <w:rsid w:val="001B01B1"/>
    <w:rsid w:val="001B44B0"/>
    <w:rsid w:val="001D1AE7"/>
    <w:rsid w:val="001E3036"/>
    <w:rsid w:val="00216D58"/>
    <w:rsid w:val="00230248"/>
    <w:rsid w:val="00237B69"/>
    <w:rsid w:val="00241582"/>
    <w:rsid w:val="00242B88"/>
    <w:rsid w:val="00291226"/>
    <w:rsid w:val="002B6031"/>
    <w:rsid w:val="002C2A46"/>
    <w:rsid w:val="0030737C"/>
    <w:rsid w:val="00324750"/>
    <w:rsid w:val="00347F54"/>
    <w:rsid w:val="00384543"/>
    <w:rsid w:val="003872B7"/>
    <w:rsid w:val="00392D55"/>
    <w:rsid w:val="003A3546"/>
    <w:rsid w:val="003C09F9"/>
    <w:rsid w:val="003C199C"/>
    <w:rsid w:val="003C209A"/>
    <w:rsid w:val="003D2774"/>
    <w:rsid w:val="003E5D65"/>
    <w:rsid w:val="003E603A"/>
    <w:rsid w:val="003F0B64"/>
    <w:rsid w:val="00405B54"/>
    <w:rsid w:val="00406329"/>
    <w:rsid w:val="00406477"/>
    <w:rsid w:val="00433CCC"/>
    <w:rsid w:val="004360AC"/>
    <w:rsid w:val="00445CA9"/>
    <w:rsid w:val="004545AD"/>
    <w:rsid w:val="00472954"/>
    <w:rsid w:val="004B44DA"/>
    <w:rsid w:val="004B5DE9"/>
    <w:rsid w:val="004D1525"/>
    <w:rsid w:val="004E565E"/>
    <w:rsid w:val="004F5B94"/>
    <w:rsid w:val="004F6E55"/>
    <w:rsid w:val="00500E07"/>
    <w:rsid w:val="00524DA3"/>
    <w:rsid w:val="00536641"/>
    <w:rsid w:val="005C29DF"/>
    <w:rsid w:val="005C42A2"/>
    <w:rsid w:val="005E1B19"/>
    <w:rsid w:val="005F001C"/>
    <w:rsid w:val="00606132"/>
    <w:rsid w:val="006A09D2"/>
    <w:rsid w:val="006D5CF4"/>
    <w:rsid w:val="006E106A"/>
    <w:rsid w:val="006E7F2F"/>
    <w:rsid w:val="006F416F"/>
    <w:rsid w:val="006F4715"/>
    <w:rsid w:val="006F5307"/>
    <w:rsid w:val="00710820"/>
    <w:rsid w:val="007128B6"/>
    <w:rsid w:val="00723BDC"/>
    <w:rsid w:val="0073323C"/>
    <w:rsid w:val="007402FB"/>
    <w:rsid w:val="007775F7"/>
    <w:rsid w:val="007C1E8A"/>
    <w:rsid w:val="00801E4F"/>
    <w:rsid w:val="008623E9"/>
    <w:rsid w:val="00864F6F"/>
    <w:rsid w:val="008C6BDA"/>
    <w:rsid w:val="008D3E3C"/>
    <w:rsid w:val="008D69DD"/>
    <w:rsid w:val="008F665C"/>
    <w:rsid w:val="00932DDD"/>
    <w:rsid w:val="00997AD5"/>
    <w:rsid w:val="009B3B1F"/>
    <w:rsid w:val="009C32C4"/>
    <w:rsid w:val="00A17CAD"/>
    <w:rsid w:val="00A3260E"/>
    <w:rsid w:val="00A44DC7"/>
    <w:rsid w:val="00A53596"/>
    <w:rsid w:val="00A56070"/>
    <w:rsid w:val="00A81FCE"/>
    <w:rsid w:val="00A8670A"/>
    <w:rsid w:val="00A90946"/>
    <w:rsid w:val="00A90A6A"/>
    <w:rsid w:val="00A9592B"/>
    <w:rsid w:val="00A95C0B"/>
    <w:rsid w:val="00AA5DFD"/>
    <w:rsid w:val="00AB62D9"/>
    <w:rsid w:val="00AD2EE1"/>
    <w:rsid w:val="00AD79F0"/>
    <w:rsid w:val="00B40258"/>
    <w:rsid w:val="00B51B37"/>
    <w:rsid w:val="00B67B95"/>
    <w:rsid w:val="00B7320C"/>
    <w:rsid w:val="00B96B3C"/>
    <w:rsid w:val="00BB07E2"/>
    <w:rsid w:val="00BC6148"/>
    <w:rsid w:val="00C01D7B"/>
    <w:rsid w:val="00C118B0"/>
    <w:rsid w:val="00C70A51"/>
    <w:rsid w:val="00C73DF4"/>
    <w:rsid w:val="00C80D26"/>
    <w:rsid w:val="00CA7B58"/>
    <w:rsid w:val="00CB3E22"/>
    <w:rsid w:val="00CC58FF"/>
    <w:rsid w:val="00CD2A0B"/>
    <w:rsid w:val="00D01039"/>
    <w:rsid w:val="00D01C82"/>
    <w:rsid w:val="00D14904"/>
    <w:rsid w:val="00D54FDB"/>
    <w:rsid w:val="00D81831"/>
    <w:rsid w:val="00DA2EC4"/>
    <w:rsid w:val="00DB5828"/>
    <w:rsid w:val="00DE0BFB"/>
    <w:rsid w:val="00E16CB3"/>
    <w:rsid w:val="00E37B92"/>
    <w:rsid w:val="00E40472"/>
    <w:rsid w:val="00E44DAD"/>
    <w:rsid w:val="00E53AF0"/>
    <w:rsid w:val="00E65B25"/>
    <w:rsid w:val="00E96582"/>
    <w:rsid w:val="00E9782B"/>
    <w:rsid w:val="00EA1066"/>
    <w:rsid w:val="00EA1877"/>
    <w:rsid w:val="00EA31E2"/>
    <w:rsid w:val="00EA65AF"/>
    <w:rsid w:val="00EC10BA"/>
    <w:rsid w:val="00EC5237"/>
    <w:rsid w:val="00ED1DA5"/>
    <w:rsid w:val="00ED3397"/>
    <w:rsid w:val="00F056C5"/>
    <w:rsid w:val="00F07BF0"/>
    <w:rsid w:val="00F20F79"/>
    <w:rsid w:val="00F30F68"/>
    <w:rsid w:val="00F32390"/>
    <w:rsid w:val="00F41647"/>
    <w:rsid w:val="00F42F6C"/>
    <w:rsid w:val="00F60107"/>
    <w:rsid w:val="00F71567"/>
    <w:rsid w:val="00F76421"/>
    <w:rsid w:val="00FA62CD"/>
    <w:rsid w:val="00FD3C75"/>
    <w:rsid w:val="00FE566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62B1"/>
  <w15:docId w15:val="{DBD3ADF3-BFC1-4DDA-AAD9-9994AC70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D149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3514</Words>
  <Characters>2003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Ieva Palubinskaite</cp:lastModifiedBy>
  <cp:revision>3</cp:revision>
  <dcterms:created xsi:type="dcterms:W3CDTF">2022-12-08T09:17:00Z</dcterms:created>
  <dcterms:modified xsi:type="dcterms:W3CDTF">2023-10-19T10:45:00Z</dcterms:modified>
</cp:coreProperties>
</file>